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全国计算机等级考试报名系统</w:t>
      </w:r>
    </w:p>
    <w:p>
      <w:pPr>
        <w:jc w:val="center"/>
        <w:rPr>
          <w:rFonts w:eastAsia="方正小标宋简体"/>
          <w:sz w:val="44"/>
          <w:szCs w:val="30"/>
        </w:rPr>
      </w:pPr>
      <w:r>
        <w:rPr>
          <w:rFonts w:hint="eastAsia" w:eastAsia="方正小标宋简体"/>
          <w:sz w:val="44"/>
          <w:szCs w:val="30"/>
        </w:rPr>
        <w:t>考生使用说明书</w:t>
      </w:r>
    </w:p>
    <w:p>
      <w:pPr>
        <w:spacing w:before="10608" w:beforeLines="34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>
      <w:pPr>
        <w:jc w:val="center"/>
        <w:rPr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12</w:t>
      </w:r>
      <w:bookmarkStart w:id="10" w:name="_GoBack"/>
      <w:bookmarkEnd w:id="10"/>
    </w:p>
    <w:sdt>
      <w:sdt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6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>　</w:t>
          </w:r>
          <w:r>
            <w:rPr>
              <w:lang w:val="zh-CN"/>
            </w:rPr>
            <w:t>录</w:t>
          </w:r>
        </w:p>
        <w:p>
          <w:pPr>
            <w:pStyle w:val="11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HYPERLINK \l _Toc11290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一</w:t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t xml:space="preserve">、 </w:t>
          </w:r>
          <w:r>
            <w:rPr>
              <w:rFonts w:hint="eastAsia" w:ascii="Times New Roman" w:hAnsi="Times New Roman" w:eastAsia="宋体" w:cstheme="minorBidi"/>
              <w:kern w:val="2"/>
              <w:szCs w:val="22"/>
              <w:lang w:val="en-US" w:eastAsia="zh-CN" w:bidi="ar-SA"/>
            </w:rPr>
            <w:t>注册账号和登录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_Toc11290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1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_Toc12577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1</w:t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注册通行证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_Toc12577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1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_Toc6953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2</w:t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登录系统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_Toc6953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_Toc23719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欢迎界面介绍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_Toc23719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_Toc6299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二</w:t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t xml:space="preserve">、 </w:t>
          </w:r>
          <w:r>
            <w:rPr>
              <w:rFonts w:hint="eastAsia" w:ascii="Times New Roman" w:hAnsi="Times New Roman" w:eastAsia="宋体" w:cstheme="minorBidi"/>
              <w:kern w:val="2"/>
              <w:szCs w:val="22"/>
              <w:lang w:val="en-US" w:eastAsia="zh-CN" w:bidi="ar-SA"/>
            </w:rPr>
            <w:t>考试报名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_Toc6299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_Toc9703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1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阅读报名协议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_Toc9703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_Toc13119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2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填写基本信息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_Toc13119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4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_Toc16753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报考科目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_Toc16753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5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_Toc12892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4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上传照片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_Toc12892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5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_Toc4738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5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申请信息审核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_Toc4738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6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_Toc2312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6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网上支付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_Toc2312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8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_Toc4481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7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现场确认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_Toc4481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9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ectPr>
              <w:headerReference r:id="rId3" w:type="default"/>
              <w:footerReference r:id="rId4" w:type="default"/>
              <w:pgSz w:w="11906" w:h="16838"/>
              <w:pgMar w:top="1440" w:right="1800" w:bottom="1440" w:left="1800" w:header="851" w:footer="992" w:gutter="0"/>
              <w:pgNumType w:fmt="upperRoman" w:start="1"/>
              <w:cols w:space="425" w:num="1"/>
              <w:docGrid w:type="lines" w:linePitch="312" w:charSpace="0"/>
            </w:sect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end"/>
          </w:r>
        </w:p>
      </w:sdtContent>
    </w:sdt>
    <w:p>
      <w:pPr>
        <w:pStyle w:val="3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t>注册账号和登录</w:t>
      </w:r>
      <w:bookmarkEnd w:id="0"/>
    </w:p>
    <w:p>
      <w:pPr>
        <w:pStyle w:val="20"/>
        <w:numPr>
          <w:ilvl w:val="0"/>
          <w:numId w:val="0"/>
        </w:numPr>
        <w:rPr>
          <w:b/>
          <w:bCs/>
          <w:color w:val="C00000"/>
          <w:sz w:val="21"/>
          <w:szCs w:val="21"/>
          <w:u w:val="single"/>
        </w:rPr>
      </w:pPr>
      <w:r>
        <w:rPr>
          <w:rFonts w:hint="eastAsia"/>
          <w:b/>
          <w:bCs/>
          <w:color w:val="C00000"/>
          <w:lang w:val="en-US" w:eastAsia="zh-CN"/>
        </w:rPr>
        <w:t>1、在浏览器中打开</w:t>
      </w: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HYPERLINK "http://10.0.60.56/StudentLogin.aspx"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Style w:val="14"/>
          <w:rFonts w:hint="eastAsia"/>
          <w:sz w:val="30"/>
          <w:szCs w:val="30"/>
          <w:lang w:val="en-US" w:eastAsia="zh-CN"/>
        </w:rPr>
        <w:t>http://10.0.60.56/StudentLogin.aspx</w:t>
      </w:r>
      <w:r>
        <w:rPr>
          <w:rFonts w:hint="eastAsia"/>
          <w:sz w:val="30"/>
          <w:szCs w:val="30"/>
          <w:lang w:val="en-US" w:eastAsia="zh-CN"/>
        </w:rPr>
        <w:fldChar w:fldCharType="end"/>
      </w:r>
      <w:r>
        <w:rPr>
          <w:rFonts w:hint="eastAsia"/>
          <w:b/>
          <w:bCs/>
          <w:color w:val="C00000"/>
          <w:lang w:val="en-US" w:eastAsia="zh-CN"/>
        </w:rPr>
        <w:t>进入如下图所示页面</w:t>
      </w:r>
    </w:p>
    <w:p>
      <w:pPr>
        <w:pStyle w:val="20"/>
        <w:numPr>
          <w:ilvl w:val="0"/>
          <w:numId w:val="0"/>
        </w:numPr>
        <w:ind w:left="480" w:leftChars="0"/>
        <w:rPr>
          <w:color w:val="0000FF"/>
          <w:sz w:val="21"/>
          <w:szCs w:val="21"/>
          <w:u w:val="single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ind w:firstLine="480"/>
        <w:jc w:val="center"/>
      </w:pPr>
      <w:r>
        <w:drawing>
          <wp:inline distT="0" distB="0" distL="0" distR="0">
            <wp:extent cx="4718050" cy="2581910"/>
            <wp:effectExtent l="0" t="0" r="635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Chars="0"/>
        <w:rPr>
          <w:b/>
          <w:bCs w:val="0"/>
          <w:color w:val="C00000"/>
          <w:sz w:val="24"/>
          <w:szCs w:val="24"/>
        </w:rPr>
      </w:pPr>
      <w:bookmarkStart w:id="1" w:name="_Toc12577"/>
      <w:bookmarkStart w:id="2" w:name="_Toc361643470"/>
      <w:r>
        <w:rPr>
          <w:rFonts w:hint="eastAsia"/>
          <w:b/>
          <w:bCs w:val="0"/>
          <w:color w:val="C00000"/>
          <w:sz w:val="24"/>
          <w:szCs w:val="24"/>
          <w:lang w:val="en-US" w:eastAsia="zh-CN"/>
        </w:rPr>
        <w:t>2、</w:t>
      </w:r>
      <w:r>
        <w:rPr>
          <w:rFonts w:hint="eastAsia"/>
          <w:b/>
          <w:bCs w:val="0"/>
          <w:color w:val="C00000"/>
          <w:sz w:val="24"/>
          <w:szCs w:val="24"/>
        </w:rPr>
        <w:t>注册通行证</w:t>
      </w:r>
      <w:bookmarkEnd w:id="1"/>
    </w:p>
    <w:p>
      <w:pPr>
        <w:spacing w:line="360" w:lineRule="auto"/>
        <w:jc w:val="left"/>
      </w:pPr>
      <w: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转到</w:t>
      </w:r>
      <w:r>
        <w:rPr/>
        <w:sym w:font="Wingdings" w:char="F0E0"/>
      </w:r>
      <w:r>
        <w:rPr>
          <w:rFonts w:hint="eastAsia"/>
        </w:rPr>
        <w:t xml:space="preserve"> </w:t>
      </w:r>
      <w: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1）</w:t>
      </w:r>
      <w:r>
        <w:rPr>
          <w:rFonts w:hint="eastAsia"/>
          <w:b/>
          <w:bCs/>
          <w:sz w:val="24"/>
          <w:szCs w:val="24"/>
        </w:rPr>
        <w:t>考生点击“用户注册”按钮，根据网页提示，输入对应的注册信息，即可完成注册。</w:t>
      </w:r>
      <w:r>
        <w:rPr>
          <w:rFonts w:hint="eastAsia"/>
          <w:b/>
          <w:bCs/>
          <w:sz w:val="24"/>
          <w:szCs w:val="24"/>
          <w:lang w:val="en-US" w:eastAsia="zh-CN"/>
        </w:rPr>
        <w:t>2）</w:t>
      </w:r>
      <w:r>
        <w:rPr>
          <w:rFonts w:hint="eastAsia"/>
          <w:b/>
          <w:bCs/>
          <w:sz w:val="24"/>
          <w:szCs w:val="24"/>
          <w:lang w:eastAsia="zh-CN"/>
        </w:rPr>
        <w:t>注册成功之后，在注册的邮箱中激活</w:t>
      </w:r>
      <w:r>
        <w:rPr>
          <w:rFonts w:hint="eastAsia"/>
          <w:b/>
          <w:bCs/>
          <w:sz w:val="24"/>
          <w:szCs w:val="24"/>
          <w:lang w:val="en-US" w:eastAsia="zh-CN"/>
        </w:rPr>
        <w:t>ETEST同行证</w:t>
      </w:r>
      <w:r>
        <w:rPr>
          <w:rFonts w:hint="eastAsia"/>
          <w:b/>
          <w:bCs/>
          <w:sz w:val="24"/>
          <w:szCs w:val="24"/>
          <w:lang w:eastAsia="zh-CN"/>
        </w:rPr>
        <w:t>方可登录系统报名。</w:t>
      </w:r>
    </w:p>
    <w:p>
      <w:pPr>
        <w:spacing w:line="360" w:lineRule="auto"/>
        <w:jc w:val="left"/>
      </w:pPr>
      <w:r>
        <w:rPr>
          <w:rFonts w:hint="eastAsia"/>
          <w:b/>
          <w:bCs/>
          <w:sz w:val="24"/>
          <w:szCs w:val="24"/>
          <w:lang w:val="en-US" w:eastAsia="zh-CN"/>
        </w:rPr>
        <w:t>3）ETEST同行证邮箱验证</w:t>
      </w:r>
      <w:r>
        <w:rPr>
          <w:rFonts w:hint="eastAsia"/>
          <w:b/>
          <w:bCs/>
          <w:sz w:val="24"/>
          <w:szCs w:val="24"/>
          <w:lang w:eastAsia="zh-CN"/>
        </w:rPr>
        <w:t>选</w:t>
      </w:r>
      <w:r>
        <w:rPr>
          <w:rFonts w:hint="eastAsia"/>
          <w:b/>
          <w:bCs/>
          <w:color w:val="C00000"/>
          <w:sz w:val="24"/>
          <w:szCs w:val="24"/>
          <w:lang w:eastAsia="zh-CN"/>
        </w:rPr>
        <w:t>择教育网站激活</w:t>
      </w:r>
      <w:r>
        <w:rPr>
          <w:rFonts w:hint="eastAsia"/>
          <w:b/>
          <w:bCs/>
          <w:sz w:val="24"/>
          <w:szCs w:val="24"/>
          <w:lang w:eastAsia="zh-CN"/>
        </w:rPr>
        <w:t>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40" w:line="416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/>
          <w:b/>
          <w:bCs w:val="0"/>
          <w:color w:val="C00000"/>
          <w:sz w:val="24"/>
          <w:szCs w:val="24"/>
          <w:lang w:val="en-US" w:eastAsia="zh-CN"/>
        </w:rPr>
      </w:pPr>
      <w:bookmarkStart w:id="3" w:name="_Toc6953"/>
      <w:r>
        <w:rPr>
          <w:rFonts w:hint="eastAsia"/>
          <w:b/>
          <w:bCs w:val="0"/>
          <w:color w:val="C00000"/>
          <w:sz w:val="24"/>
          <w:szCs w:val="24"/>
          <w:lang w:val="en-US" w:eastAsia="zh-CN"/>
        </w:rPr>
        <w:t>3、登录系统</w:t>
      </w:r>
      <w:bookmarkEnd w:id="3"/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1）按之前的步骤在浏览器中打开http://10.0.60.60/NCRE_EMS</w:t>
      </w:r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2）在登录框中正确输入账号、密码、验证码，登录系统。</w:t>
      </w:r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3）首次登录成功后进入系统的个人报名欢迎界面。</w:t>
      </w:r>
      <w:bookmarkEnd w:id="2"/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4）点击改页面左上角【</w:t>
      </w:r>
      <w:r>
        <w:rPr>
          <w:rFonts w:hint="eastAsia"/>
          <w:b/>
          <w:bCs/>
          <w:color w:val="C00000"/>
          <w:sz w:val="24"/>
          <w:szCs w:val="24"/>
          <w:lang w:val="en-US" w:eastAsia="zh-CN"/>
        </w:rPr>
        <w:t>当前考次</w:t>
      </w:r>
      <w:r>
        <w:rPr>
          <w:rFonts w:hint="eastAsia"/>
          <w:b/>
          <w:bCs/>
          <w:sz w:val="24"/>
          <w:szCs w:val="24"/>
          <w:lang w:val="en-US" w:eastAsia="zh-CN"/>
        </w:rPr>
        <w:t>】，即可进行网上报名。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3345" cy="2629535"/>
            <wp:effectExtent l="0" t="0" r="8255" b="18415"/>
            <wp:docPr id="24" name="图片 2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spacing w:line="415" w:lineRule="auto"/>
        <w:rPr>
          <w:b w:val="0"/>
          <w:bCs w:val="0"/>
        </w:rPr>
      </w:pPr>
      <w:bookmarkStart w:id="4" w:name="_Toc6299"/>
      <w:r>
        <w:rPr>
          <w:rFonts w:hint="eastAsia"/>
          <w:b w:val="0"/>
          <w:bCs w:val="0"/>
        </w:rPr>
        <w:t>考试报名</w:t>
      </w:r>
      <w:bookmarkEnd w:id="4"/>
    </w:p>
    <w:p>
      <w:pPr>
        <w:pStyle w:val="19"/>
        <w:numPr>
          <w:ilvl w:val="0"/>
          <w:numId w:val="2"/>
        </w:numPr>
        <w:ind w:left="357" w:hanging="357" w:firstLineChars="0"/>
        <w:outlineLvl w:val="2"/>
        <w:rPr>
          <w:b/>
          <w:bCs/>
          <w:color w:val="C00000"/>
          <w:sz w:val="24"/>
          <w:szCs w:val="24"/>
        </w:rPr>
      </w:pPr>
      <w:bookmarkStart w:id="5" w:name="_Toc9703"/>
      <w:r>
        <w:rPr>
          <w:rFonts w:hint="eastAsia"/>
          <w:b/>
          <w:bCs/>
          <w:color w:val="C00000"/>
          <w:sz w:val="24"/>
          <w:szCs w:val="24"/>
        </w:rPr>
        <w:t>阅读报名协议</w:t>
      </w:r>
      <w:bookmarkEnd w:id="5"/>
    </w:p>
    <w:p>
      <w:pPr>
        <w:pStyle w:val="19"/>
        <w:ind w:left="360" w:firstLine="0" w:firstLineChars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>
      <w:pPr>
        <w:jc w:val="center"/>
      </w:pPr>
      <w:r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ind w:left="360" w:firstLine="0" w:firstLineChars="0"/>
      </w:pPr>
    </w:p>
    <w:p>
      <w:pPr>
        <w:pStyle w:val="19"/>
        <w:numPr>
          <w:ilvl w:val="0"/>
          <w:numId w:val="2"/>
        </w:numPr>
        <w:ind w:left="357" w:hanging="357" w:firstLineChars="0"/>
        <w:outlineLvl w:val="2"/>
        <w:rPr>
          <w:b/>
          <w:bCs/>
          <w:color w:val="C00000"/>
          <w:sz w:val="24"/>
          <w:szCs w:val="24"/>
        </w:rPr>
      </w:pPr>
      <w:bookmarkStart w:id="6" w:name="_Toc13119"/>
      <w:r>
        <w:rPr>
          <w:rFonts w:hint="eastAsia"/>
          <w:b/>
          <w:bCs/>
          <w:color w:val="C00000"/>
          <w:sz w:val="24"/>
          <w:szCs w:val="24"/>
        </w:rPr>
        <w:t>填写基本信息</w:t>
      </w:r>
      <w:bookmarkEnd w:id="6"/>
    </w:p>
    <w:p>
      <w:pPr>
        <w:pStyle w:val="19"/>
        <w:spacing w:line="360" w:lineRule="auto"/>
        <w:ind w:left="360" w:firstLine="0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填入相关信息，带有红色“</w:t>
      </w:r>
      <w:r>
        <w:rPr>
          <w:rFonts w:hint="eastAsia"/>
          <w:b/>
          <w:bCs/>
          <w:color w:val="FF0000"/>
          <w:sz w:val="24"/>
          <w:szCs w:val="24"/>
        </w:rPr>
        <w:t>*</w:t>
      </w:r>
      <w:r>
        <w:rPr>
          <w:rFonts w:hint="eastAsia"/>
          <w:b/>
          <w:bCs/>
          <w:sz w:val="24"/>
          <w:szCs w:val="24"/>
        </w:rPr>
        <w:t>”号标记的信息为必填项。</w:t>
      </w:r>
    </w:p>
    <w:p>
      <w:pPr>
        <w:jc w:val="center"/>
      </w:pPr>
      <w: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2"/>
        </w:numPr>
        <w:spacing w:line="360" w:lineRule="auto"/>
        <w:ind w:left="357" w:hanging="357" w:firstLineChars="0"/>
        <w:outlineLvl w:val="2"/>
        <w:rPr>
          <w:b/>
          <w:bCs/>
          <w:color w:val="C00000"/>
          <w:sz w:val="24"/>
          <w:szCs w:val="24"/>
        </w:rPr>
      </w:pPr>
      <w:bookmarkStart w:id="7" w:name="_Toc16753"/>
      <w:r>
        <w:rPr>
          <w:rFonts w:hint="eastAsia"/>
          <w:b/>
          <w:bCs/>
          <w:color w:val="C00000"/>
          <w:sz w:val="24"/>
          <w:szCs w:val="24"/>
        </w:rPr>
        <w:t>报考科目</w:t>
      </w:r>
      <w:bookmarkEnd w:id="7"/>
    </w:p>
    <w:p>
      <w:pPr>
        <w:pStyle w:val="19"/>
        <w:spacing w:line="360" w:lineRule="auto"/>
        <w:ind w:left="360" w:firstLine="0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考生首先选择报考考点，选择完考点后，系统会加载出该考点的所有开考科目。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>
      <w:pPr>
        <w:jc w:val="center"/>
      </w:pPr>
      <w: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2"/>
        </w:numPr>
        <w:ind w:left="357" w:hanging="357" w:firstLineChars="0"/>
        <w:outlineLvl w:val="2"/>
        <w:rPr>
          <w:sz w:val="24"/>
          <w:szCs w:val="24"/>
        </w:rPr>
      </w:pPr>
      <w:bookmarkStart w:id="8" w:name="_Toc12892"/>
      <w:r>
        <w:rPr>
          <w:rFonts w:hint="eastAsia"/>
          <w:sz w:val="24"/>
          <w:szCs w:val="24"/>
        </w:rPr>
        <w:t>上传照片</w:t>
      </w:r>
      <w:bookmarkEnd w:id="8"/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>
      <w:pPr>
        <w:jc w:val="center"/>
      </w:pPr>
      <w: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>
      <w:pPr>
        <w:pStyle w:val="20"/>
        <w:numPr>
          <w:ilvl w:val="0"/>
          <w:numId w:val="3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>
      <w:pPr>
        <w:pStyle w:val="20"/>
        <w:numPr>
          <w:ilvl w:val="0"/>
          <w:numId w:val="3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成像要求：成像区上部空1/10，头部占7/10，肩部占1/5，左右各空1/10。采集图像大小最小为192*144（高*宽），彩色，成像区大小为48mm*33mm(高*宽)。</w:t>
      </w:r>
    </w:p>
    <w:p>
      <w:pPr>
        <w:pStyle w:val="20"/>
        <w:numPr>
          <w:ilvl w:val="0"/>
          <w:numId w:val="3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文件格式要求：要求存储为jpg格式，图像文件名为*.jpg。</w:t>
      </w:r>
    </w:p>
    <w:p>
      <w:pPr>
        <w:pStyle w:val="20"/>
        <w:numPr>
          <w:ilvl w:val="0"/>
          <w:numId w:val="3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文件大小要求：20KB-200KB。</w:t>
      </w:r>
    </w:p>
    <w:p>
      <w:pPr>
        <w:pStyle w:val="20"/>
        <w:numPr>
          <w:ilvl w:val="0"/>
          <w:numId w:val="3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>
      <w:pPr>
        <w:jc w:val="center"/>
      </w:pPr>
      <w: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>
      <w:pPr>
        <w:jc w:val="center"/>
      </w:pPr>
      <w: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pStyle w:val="19"/>
        <w:numPr>
          <w:ilvl w:val="0"/>
          <w:numId w:val="2"/>
        </w:numPr>
        <w:ind w:left="357" w:hanging="357" w:firstLineChars="0"/>
        <w:outlineLvl w:val="2"/>
        <w:rPr>
          <w:sz w:val="24"/>
          <w:szCs w:val="24"/>
        </w:rPr>
      </w:pPr>
      <w:bookmarkStart w:id="9" w:name="_Toc4738"/>
      <w:r>
        <w:rPr>
          <w:rFonts w:hint="eastAsia"/>
          <w:sz w:val="24"/>
          <w:szCs w:val="24"/>
          <w:lang w:eastAsia="zh-CN"/>
        </w:rPr>
        <w:t>申请信息审核</w:t>
      </w:r>
      <w:bookmarkEnd w:id="9"/>
    </w:p>
    <w:p>
      <w:pPr>
        <w:pStyle w:val="20"/>
        <w:ind w:left="0" w:leftChars="0" w:firstLine="0" w:firstLineChars="0"/>
        <w:rPr>
          <w:rFonts w:hint="eastAsia" w:cstheme="minorBidi"/>
          <w:kern w:val="0"/>
          <w:sz w:val="21"/>
          <w:szCs w:val="21"/>
          <w:lang w:val="en-US" w:eastAsia="zh-CN" w:bidi="ar-SA"/>
        </w:rPr>
      </w:pPr>
      <w:r>
        <w:rPr>
          <w:rFonts w:hint="eastAsia"/>
          <w:sz w:val="21"/>
          <w:szCs w:val="21"/>
          <w:lang w:val="en-US" w:eastAsia="zh-CN"/>
        </w:rPr>
        <w:t xml:space="preserve">    如果考生报考的考点，开启了信息审核功能，当</w:t>
      </w:r>
      <w:r>
        <w:rPr>
          <w:rFonts w:hint="eastAsia"/>
          <w:sz w:val="21"/>
          <w:szCs w:val="21"/>
        </w:rPr>
        <w:t>考生上传照片以及报考科目信息检查无误后</w:t>
      </w:r>
      <w:r>
        <w:rPr>
          <w:rFonts w:hint="eastAsia" w:ascii="Times New Roman" w:hAnsi="Times New Roman" w:eastAsia="宋体" w:cstheme="minorBidi"/>
          <w:kern w:val="0"/>
          <w:sz w:val="21"/>
          <w:szCs w:val="21"/>
          <w:lang w:val="en-US" w:eastAsia="zh-CN" w:bidi="ar-SA"/>
        </w:rPr>
        <w:t>，</w:t>
      </w:r>
      <w:r>
        <w:rPr>
          <w:rFonts w:hint="eastAsia" w:cstheme="minorBidi"/>
          <w:kern w:val="0"/>
          <w:sz w:val="21"/>
          <w:szCs w:val="21"/>
          <w:lang w:val="en-US" w:eastAsia="zh-CN" w:bidi="ar-SA"/>
        </w:rPr>
        <w:t>需要点击“申请信息审核”按钮。</w:t>
      </w:r>
    </w:p>
    <w:p>
      <w:pPr>
        <w:jc w:val="center"/>
      </w:pPr>
      <w: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点击“申请信息审核”按钮时，会出现提示信息；</w:t>
      </w:r>
    </w:p>
    <w:p>
      <w:pPr>
        <w:jc w:val="center"/>
      </w:pPr>
      <w: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点击“确定”后，审核状态会变成“待审核”状态；</w:t>
      </w:r>
    </w:p>
    <w:p>
      <w:pPr>
        <w:jc w:val="center"/>
      </w:pPr>
      <w: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如果考点审核未通过，考生需对自己的报名信息或者照片信息进行修改，再次提交审核；</w:t>
      </w:r>
    </w:p>
    <w:p>
      <w:pPr>
        <w:jc w:val="center"/>
      </w:pPr>
      <w: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如果考点审核已通过，考生信息和照片将不能够进行更改并且需要在</w:t>
      </w:r>
      <w:r>
        <w:rPr>
          <w:rFonts w:hint="eastAsia"/>
          <w:color w:val="auto"/>
          <w:sz w:val="21"/>
          <w:szCs w:val="21"/>
          <w:lang w:val="en-US" w:eastAsia="zh-CN"/>
        </w:rPr>
        <w:t>24小时内进行网上支付</w:t>
      </w:r>
      <w:r>
        <w:rPr>
          <w:rFonts w:hint="eastAsia"/>
          <w:color w:val="auto"/>
          <w:sz w:val="21"/>
          <w:szCs w:val="21"/>
          <w:lang w:eastAsia="zh-CN"/>
        </w:rPr>
        <w:t>；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color w:val="FF0000"/>
          <w:lang w:val="en-US" w:eastAsia="zh-CN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/>
    <w:p>
      <w:pPr>
        <w:pStyle w:val="20"/>
        <w:ind w:left="0" w:leftChars="0" w:firstLine="0" w:firstLineChars="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6、报名费收取及</w:t>
      </w:r>
      <w:r>
        <w:rPr>
          <w:sz w:val="21"/>
          <w:szCs w:val="21"/>
        </w:rPr>
        <w:t>现场确认</w:t>
      </w:r>
      <w:r>
        <w:rPr>
          <w:rFonts w:hint="eastAsia"/>
          <w:sz w:val="21"/>
          <w:szCs w:val="21"/>
          <w:lang w:eastAsia="zh-CN"/>
        </w:rPr>
        <w:t>，请考生留意该考点校区官网通知。</w:t>
      </w:r>
    </w:p>
    <w:p>
      <w:pPr>
        <w:pStyle w:val="20"/>
        <w:ind w:left="0" w:leftChars="0" w:firstLine="0" w:firstLineChars="0"/>
        <w:rPr>
          <w:color w:val="FF0000"/>
          <w:sz w:val="21"/>
          <w:szCs w:val="21"/>
        </w:rPr>
      </w:pPr>
    </w:p>
    <w:sectPr>
      <w:pgSz w:w="11906" w:h="16838"/>
      <w:pgMar w:top="1440" w:right="1066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altName w:val="Arial Unicode MS"/>
    <w:panose1 w:val="020B0604020202020204"/>
    <w:charset w:val="00"/>
    <w:family w:val="auto"/>
    <w:pitch w:val="default"/>
    <w:sig w:usb0="00000000" w:usb1="00000000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8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8"/>
      <w:ind w:firstLine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58AC"/>
    <w:multiLevelType w:val="multilevel"/>
    <w:tmpl w:val="2E2758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CC5357"/>
    <w:multiLevelType w:val="multilevel"/>
    <w:tmpl w:val="58CC5357"/>
    <w:lvl w:ilvl="0" w:tentative="0">
      <w:start w:val="1"/>
      <w:numFmt w:val="decimal"/>
      <w:lvlText w:val="%1)"/>
      <w:lvlJc w:val="left"/>
      <w:pPr>
        <w:ind w:left="1160" w:hanging="420"/>
      </w:pPr>
    </w:lvl>
    <w:lvl w:ilvl="1" w:tentative="0">
      <w:start w:val="1"/>
      <w:numFmt w:val="lowerLetter"/>
      <w:lvlText w:val="%2)"/>
      <w:lvlJc w:val="left"/>
      <w:pPr>
        <w:ind w:left="1580" w:hanging="420"/>
      </w:pPr>
    </w:lvl>
    <w:lvl w:ilvl="2" w:tentative="0">
      <w:start w:val="1"/>
      <w:numFmt w:val="lowerRoman"/>
      <w:lvlText w:val="%3."/>
      <w:lvlJc w:val="right"/>
      <w:pPr>
        <w:ind w:left="2000" w:hanging="420"/>
      </w:pPr>
    </w:lvl>
    <w:lvl w:ilvl="3" w:tentative="0">
      <w:start w:val="1"/>
      <w:numFmt w:val="decimal"/>
      <w:lvlText w:val="%4."/>
      <w:lvlJc w:val="left"/>
      <w:pPr>
        <w:ind w:left="2420" w:hanging="420"/>
      </w:pPr>
    </w:lvl>
    <w:lvl w:ilvl="4" w:tentative="0">
      <w:start w:val="1"/>
      <w:numFmt w:val="lowerLetter"/>
      <w:lvlText w:val="%5)"/>
      <w:lvlJc w:val="left"/>
      <w:pPr>
        <w:ind w:left="2840" w:hanging="420"/>
      </w:pPr>
    </w:lvl>
    <w:lvl w:ilvl="5" w:tentative="0">
      <w:start w:val="1"/>
      <w:numFmt w:val="lowerRoman"/>
      <w:lvlText w:val="%6."/>
      <w:lvlJc w:val="right"/>
      <w:pPr>
        <w:ind w:left="3260" w:hanging="420"/>
      </w:pPr>
    </w:lvl>
    <w:lvl w:ilvl="6" w:tentative="0">
      <w:start w:val="1"/>
      <w:numFmt w:val="decimal"/>
      <w:lvlText w:val="%7."/>
      <w:lvlJc w:val="left"/>
      <w:pPr>
        <w:ind w:left="3680" w:hanging="420"/>
      </w:pPr>
    </w:lvl>
    <w:lvl w:ilvl="7" w:tentative="0">
      <w:start w:val="1"/>
      <w:numFmt w:val="lowerLetter"/>
      <w:lvlText w:val="%8)"/>
      <w:lvlJc w:val="left"/>
      <w:pPr>
        <w:ind w:left="4100" w:hanging="420"/>
      </w:pPr>
    </w:lvl>
    <w:lvl w:ilvl="8" w:tentative="0">
      <w:start w:val="1"/>
      <w:numFmt w:val="lowerRoman"/>
      <w:lvlText w:val="%9."/>
      <w:lvlJc w:val="right"/>
      <w:pPr>
        <w:ind w:left="4520" w:hanging="420"/>
      </w:pPr>
    </w:lvl>
  </w:abstractNum>
  <w:abstractNum w:abstractNumId="2">
    <w:nsid w:val="61E02C75"/>
    <w:multiLevelType w:val="multilevel"/>
    <w:tmpl w:val="61E02C7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F17CB"/>
    <w:rsid w:val="00FF17CF"/>
    <w:rsid w:val="00FF2671"/>
    <w:rsid w:val="059C7499"/>
    <w:rsid w:val="0DB315B0"/>
    <w:rsid w:val="160568F6"/>
    <w:rsid w:val="1B6B061B"/>
    <w:rsid w:val="1DE43039"/>
    <w:rsid w:val="22480B98"/>
    <w:rsid w:val="2DCD0008"/>
    <w:rsid w:val="381B2AED"/>
    <w:rsid w:val="471B0202"/>
    <w:rsid w:val="51D318C0"/>
    <w:rsid w:val="532362A0"/>
    <w:rsid w:val="6D6C41E1"/>
    <w:rsid w:val="77B970DC"/>
    <w:rsid w:val="781D1BC4"/>
    <w:rsid w:val="7C940ADE"/>
    <w:rsid w:val="7CAB5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  <w:jc w:val="left"/>
    </w:pPr>
    <w:rPr>
      <w:rFonts w:ascii="Times New Roman" w:hAnsi="Times New Roman" w:eastAsia="宋体"/>
    </w:rPr>
  </w:style>
  <w:style w:type="paragraph" w:styleId="7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jc w:val="left"/>
    </w:pPr>
    <w:rPr>
      <w:rFonts w:ascii="Times New Roman" w:hAnsi="Times New Roman" w:eastAsia="宋体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  <w:jc w:val="left"/>
    </w:pPr>
    <w:rPr>
      <w:rFonts w:ascii="Times New Roman" w:hAnsi="Times New Roman" w:eastAsia="宋体"/>
    </w:rPr>
  </w:style>
  <w:style w:type="character" w:styleId="13">
    <w:name w:val="FollowedHyperlink"/>
    <w:basedOn w:val="12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2"/>
    <w:link w:val="4"/>
    <w:qFormat/>
    <w:uiPriority w:val="9"/>
    <w:rPr>
      <w:b/>
      <w:bCs/>
      <w:sz w:val="32"/>
      <w:szCs w:val="32"/>
    </w:rPr>
  </w:style>
  <w:style w:type="paragraph" w:customStyle="1" w:styleId="19">
    <w:name w:val="List Paragraph"/>
    <w:basedOn w:val="1"/>
    <w:qFormat/>
    <w:uiPriority w:val="34"/>
    <w:pPr>
      <w:ind w:firstLine="420" w:firstLineChars="200"/>
      <w:jc w:val="left"/>
    </w:pPr>
    <w:rPr>
      <w:rFonts w:ascii="Times New Roman" w:hAnsi="Times New Roman" w:eastAsia="宋体"/>
    </w:rPr>
  </w:style>
  <w:style w:type="paragraph" w:customStyle="1" w:styleId="20">
    <w:name w:val="No Spacing"/>
    <w:link w:val="21"/>
    <w:qFormat/>
    <w:uiPriority w:val="1"/>
    <w:pPr>
      <w:spacing w:line="400" w:lineRule="exact"/>
      <w:ind w:firstLine="200" w:firstLineChars="200"/>
    </w:pPr>
    <w:rPr>
      <w:rFonts w:ascii="Times New Roman" w:hAnsi="Times New Roman" w:eastAsia="宋体" w:cstheme="minorBidi"/>
      <w:kern w:val="0"/>
      <w:sz w:val="24"/>
      <w:szCs w:val="22"/>
      <w:lang w:val="en-US" w:eastAsia="zh-CN" w:bidi="ar-SA"/>
    </w:rPr>
  </w:style>
  <w:style w:type="character" w:customStyle="1" w:styleId="21">
    <w:name w:val="无间隔 Char"/>
    <w:basedOn w:val="12"/>
    <w:link w:val="20"/>
    <w:qFormat/>
    <w:uiPriority w:val="1"/>
    <w:rPr>
      <w:rFonts w:ascii="Times New Roman" w:hAnsi="Times New Roman" w:eastAsia="宋体"/>
      <w:kern w:val="0"/>
      <w:sz w:val="24"/>
    </w:rPr>
  </w:style>
  <w:style w:type="character" w:customStyle="1" w:styleId="22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25">
    <w:name w:val="页脚 Char"/>
    <w:basedOn w:val="12"/>
    <w:link w:val="8"/>
    <w:qFormat/>
    <w:uiPriority w:val="99"/>
    <w:rPr>
      <w:sz w:val="18"/>
      <w:szCs w:val="18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datagrid-sort-icon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392</Words>
  <Characters>2237</Characters>
  <Lines>18</Lines>
  <Paragraphs>5</Paragraphs>
  <ScaleCrop>false</ScaleCrop>
  <LinksUpToDate>false</LinksUpToDate>
  <CharactersWithSpaces>2624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2014-11-13T02:25:00Z</dcterms:created>
  <dc:creator>buaasdu</dc:creator>
  <cp:lastModifiedBy>凝竹</cp:lastModifiedBy>
  <dcterms:modified xsi:type="dcterms:W3CDTF">2017-12-18T03:33:28Z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